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EAEAEA"/>
        <w:tblCellMar>
          <w:left w:w="0" w:type="dxa"/>
          <w:right w:w="0" w:type="dxa"/>
        </w:tblCellMar>
        <w:tblLook w:val="04A0" w:firstRow="1" w:lastRow="0" w:firstColumn="1" w:lastColumn="0" w:noHBand="0" w:noVBand="1"/>
      </w:tblPr>
      <w:tblGrid>
        <w:gridCol w:w="11520"/>
      </w:tblGrid>
      <w:tr w:rsidR="0005462E" w:rsidRPr="0005462E" w:rsidTr="0005462E">
        <w:trPr>
          <w:tblCellSpacing w:w="0" w:type="dxa"/>
        </w:trPr>
        <w:tc>
          <w:tcPr>
            <w:tcW w:w="0" w:type="auto"/>
            <w:shd w:val="clear" w:color="auto" w:fill="EAEAEA"/>
            <w:vAlign w:val="center"/>
            <w:hideMark/>
          </w:tcPr>
          <w:tbl>
            <w:tblPr>
              <w:tblW w:w="5000" w:type="pct"/>
              <w:tblCellSpacing w:w="0" w:type="dxa"/>
              <w:tblCellMar>
                <w:left w:w="0" w:type="dxa"/>
                <w:right w:w="0" w:type="dxa"/>
              </w:tblCellMar>
              <w:tblLook w:val="04A0" w:firstRow="1" w:lastRow="0" w:firstColumn="1" w:lastColumn="0" w:noHBand="0" w:noVBand="1"/>
            </w:tblPr>
            <w:tblGrid>
              <w:gridCol w:w="11520"/>
            </w:tblGrid>
            <w:tr w:rsidR="0005462E" w:rsidRPr="0005462E" w:rsidTr="0005462E">
              <w:trPr>
                <w:trHeight w:val="1590"/>
                <w:tblCellSpacing w:w="0" w:type="dxa"/>
              </w:trPr>
              <w:tc>
                <w:tcPr>
                  <w:tcW w:w="0" w:type="auto"/>
                  <w:tcMar>
                    <w:top w:w="300" w:type="dxa"/>
                    <w:left w:w="300" w:type="dxa"/>
                    <w:bottom w:w="150" w:type="dxa"/>
                    <w:right w:w="300" w:type="dxa"/>
                  </w:tcMar>
                  <w:vAlign w:val="center"/>
                  <w:hideMark/>
                </w:tcPr>
                <w:tbl>
                  <w:tblPr>
                    <w:tblW w:w="5000" w:type="pct"/>
                    <w:jc w:val="center"/>
                    <w:tblCellSpacing w:w="0" w:type="dxa"/>
                    <w:shd w:val="clear" w:color="auto" w:fill="006298"/>
                    <w:tblCellMar>
                      <w:left w:w="0" w:type="dxa"/>
                      <w:right w:w="0" w:type="dxa"/>
                    </w:tblCellMar>
                    <w:tblLook w:val="04A0" w:firstRow="1" w:lastRow="0" w:firstColumn="1" w:lastColumn="0" w:noHBand="0" w:noVBand="1"/>
                  </w:tblPr>
                  <w:tblGrid>
                    <w:gridCol w:w="10920"/>
                  </w:tblGrid>
                  <w:tr w:rsidR="0005462E" w:rsidRPr="0005462E">
                    <w:trPr>
                      <w:tblCellSpacing w:w="0" w:type="dxa"/>
                      <w:jc w:val="center"/>
                    </w:trPr>
                    <w:tc>
                      <w:tcPr>
                        <w:tcW w:w="0" w:type="auto"/>
                        <w:shd w:val="clear" w:color="auto" w:fill="006298"/>
                        <w:vAlign w:val="center"/>
                        <w:hideMark/>
                      </w:tcPr>
                      <w:tbl>
                        <w:tblPr>
                          <w:tblW w:w="5000" w:type="pct"/>
                          <w:tblCellSpacing w:w="0" w:type="dxa"/>
                          <w:tblCellMar>
                            <w:left w:w="0" w:type="dxa"/>
                            <w:right w:w="0" w:type="dxa"/>
                          </w:tblCellMar>
                          <w:tblLook w:val="04A0" w:firstRow="1" w:lastRow="0" w:firstColumn="1" w:lastColumn="0" w:noHBand="0" w:noVBand="1"/>
                        </w:tblPr>
                        <w:tblGrid>
                          <w:gridCol w:w="10920"/>
                        </w:tblGrid>
                        <w:tr w:rsidR="0005462E" w:rsidRPr="0005462E">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920"/>
                              </w:tblGrid>
                              <w:tr w:rsidR="0005462E" w:rsidRPr="0005462E" w:rsidTr="0005462E">
                                <w:trPr>
                                  <w:trHeight w:val="813"/>
                                  <w:tblCellSpacing w:w="0" w:type="dxa"/>
                                  <w:jc w:val="center"/>
                                </w:trPr>
                                <w:tc>
                                  <w:tcPr>
                                    <w:tcW w:w="0" w:type="auto"/>
                                    <w:tcMar>
                                      <w:top w:w="600" w:type="dxa"/>
                                      <w:left w:w="300" w:type="dxa"/>
                                      <w:bottom w:w="300" w:type="dxa"/>
                                      <w:right w:w="300" w:type="dxa"/>
                                    </w:tcMar>
                                    <w:vAlign w:val="center"/>
                                    <w:hideMark/>
                                  </w:tcPr>
                                  <w:tbl>
                                    <w:tblPr>
                                      <w:tblpPr w:leftFromText="180" w:rightFromText="180" w:horzAnchor="margin" w:tblpY="-585"/>
                                      <w:tblOverlap w:val="never"/>
                                      <w:tblW w:w="4912" w:type="pct"/>
                                      <w:tblCellSpacing w:w="0" w:type="dxa"/>
                                      <w:tblCellMar>
                                        <w:left w:w="0" w:type="dxa"/>
                                        <w:right w:w="0" w:type="dxa"/>
                                      </w:tblCellMar>
                                      <w:tblLook w:val="04A0" w:firstRow="1" w:lastRow="0" w:firstColumn="1" w:lastColumn="0" w:noHBand="0" w:noVBand="1"/>
                                    </w:tblPr>
                                    <w:tblGrid>
                                      <w:gridCol w:w="10138"/>
                                    </w:tblGrid>
                                    <w:tr w:rsidR="0005462E" w:rsidRPr="0005462E" w:rsidTr="0005462E">
                                      <w:trPr>
                                        <w:trHeight w:val="162"/>
                                        <w:tblCellSpacing w:w="0" w:type="dxa"/>
                                      </w:trPr>
                                      <w:tc>
                                        <w:tcPr>
                                          <w:tcW w:w="0" w:type="auto"/>
                                          <w:tcMar>
                                            <w:top w:w="0" w:type="dxa"/>
                                            <w:left w:w="0" w:type="dxa"/>
                                            <w:bottom w:w="180" w:type="dxa"/>
                                            <w:right w:w="0" w:type="dxa"/>
                                          </w:tcMar>
                                          <w:vAlign w:val="center"/>
                                          <w:hideMark/>
                                        </w:tcPr>
                                        <w:p w:rsidR="0005462E" w:rsidRPr="0005462E" w:rsidRDefault="0005462E" w:rsidP="0005462E">
                                          <w:pPr>
                                            <w:spacing w:after="0" w:line="570" w:lineRule="atLeast"/>
                                            <w:outlineLvl w:val="0"/>
                                            <w:rPr>
                                              <w:rFonts w:ascii="Rockwell" w:eastAsia="Times New Roman" w:hAnsi="Rockwell" w:cs="Helvetica"/>
                                              <w:color w:val="FFFFFF"/>
                                              <w:kern w:val="36"/>
                                              <w:sz w:val="48"/>
                                              <w:szCs w:val="48"/>
                                            </w:rPr>
                                          </w:pPr>
                                          <w:bookmarkStart w:id="0" w:name="_GoBack"/>
                                          <w:r w:rsidRPr="0005462E">
                                            <w:rPr>
                                              <w:rFonts w:ascii="Rockwell" w:eastAsia="Times New Roman" w:hAnsi="Rockwell" w:cs="Helvetica"/>
                                              <w:color w:val="FFFFFF"/>
                                              <w:kern w:val="36"/>
                                              <w:sz w:val="48"/>
                                              <w:szCs w:val="48"/>
                                            </w:rPr>
                                            <w:t>Scholarship Opportunities for Your Students</w:t>
                                          </w:r>
                                        </w:p>
                                      </w:tc>
                                    </w:tr>
                                  </w:tbl>
                                  <w:p w:rsidR="0005462E" w:rsidRPr="0005462E" w:rsidRDefault="0005462E" w:rsidP="0005462E">
                                    <w:pPr>
                                      <w:spacing w:after="0" w:line="240" w:lineRule="auto"/>
                                      <w:jc w:val="center"/>
                                      <w:rPr>
                                        <w:rFonts w:ascii="Helvetica" w:eastAsia="Times New Roman" w:hAnsi="Helvetica" w:cs="Helvetica"/>
                                        <w:sz w:val="24"/>
                                        <w:szCs w:val="24"/>
                                      </w:rPr>
                                    </w:pPr>
                                  </w:p>
                                </w:tc>
                              </w:tr>
                            </w:tbl>
                            <w:p w:rsidR="0005462E" w:rsidRPr="0005462E" w:rsidRDefault="0005462E" w:rsidP="0005462E">
                              <w:pPr>
                                <w:spacing w:after="0" w:line="240" w:lineRule="auto"/>
                                <w:jc w:val="center"/>
                                <w:rPr>
                                  <w:rFonts w:ascii="Helvetica" w:eastAsia="Times New Roman" w:hAnsi="Helvetica" w:cs="Helvetica"/>
                                  <w:sz w:val="24"/>
                                  <w:szCs w:val="24"/>
                                </w:rPr>
                              </w:pPr>
                            </w:p>
                          </w:tc>
                        </w:tr>
                      </w:tbl>
                      <w:p w:rsidR="0005462E" w:rsidRPr="0005462E" w:rsidRDefault="0005462E" w:rsidP="0005462E">
                        <w:pPr>
                          <w:spacing w:after="0" w:line="240" w:lineRule="auto"/>
                          <w:rPr>
                            <w:rFonts w:ascii="Helvetica" w:eastAsia="Times New Roman" w:hAnsi="Helvetica" w:cs="Helvetica"/>
                            <w:sz w:val="24"/>
                            <w:szCs w:val="24"/>
                          </w:rPr>
                        </w:pPr>
                      </w:p>
                    </w:tc>
                  </w:tr>
                </w:tbl>
                <w:p w:rsidR="0005462E" w:rsidRPr="0005462E" w:rsidRDefault="0005462E" w:rsidP="0005462E">
                  <w:pPr>
                    <w:spacing w:after="0" w:line="240" w:lineRule="auto"/>
                    <w:jc w:val="center"/>
                    <w:rPr>
                      <w:rFonts w:ascii="Helvetica" w:eastAsia="Times New Roman" w:hAnsi="Helvetica" w:cs="Helvetica"/>
                      <w:sz w:val="24"/>
                      <w:szCs w:val="24"/>
                    </w:rPr>
                  </w:pPr>
                </w:p>
              </w:tc>
            </w:tr>
          </w:tbl>
          <w:p w:rsidR="0005462E" w:rsidRPr="0005462E" w:rsidRDefault="0005462E" w:rsidP="0005462E">
            <w:pPr>
              <w:spacing w:after="0" w:line="240" w:lineRule="auto"/>
              <w:rPr>
                <w:rFonts w:ascii="Helvetica" w:eastAsia="Times New Roman" w:hAnsi="Helvetica" w:cs="Helvetica"/>
                <w:color w:val="222222"/>
                <w:sz w:val="24"/>
                <w:szCs w:val="24"/>
              </w:rPr>
            </w:pPr>
          </w:p>
        </w:tc>
      </w:tr>
      <w:bookmarkEnd w:id="0"/>
    </w:tbl>
    <w:p w:rsidR="0005462E" w:rsidRPr="0005462E" w:rsidRDefault="0005462E" w:rsidP="0005462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AEAEA"/>
        <w:tblCellMar>
          <w:left w:w="0" w:type="dxa"/>
          <w:right w:w="0" w:type="dxa"/>
        </w:tblCellMar>
        <w:tblLook w:val="04A0" w:firstRow="1" w:lastRow="0" w:firstColumn="1" w:lastColumn="0" w:noHBand="0" w:noVBand="1"/>
      </w:tblPr>
      <w:tblGrid>
        <w:gridCol w:w="11520"/>
      </w:tblGrid>
      <w:tr w:rsidR="0005462E" w:rsidRPr="0005462E" w:rsidTr="0005462E">
        <w:trPr>
          <w:tblCellSpacing w:w="0" w:type="dxa"/>
        </w:trPr>
        <w:tc>
          <w:tcPr>
            <w:tcW w:w="0" w:type="auto"/>
            <w:shd w:val="clear" w:color="auto" w:fill="EAEAEA"/>
            <w:vAlign w:val="center"/>
            <w:hideMark/>
          </w:tcPr>
          <w:tbl>
            <w:tblPr>
              <w:tblW w:w="5000" w:type="pct"/>
              <w:tblCellSpacing w:w="0" w:type="dxa"/>
              <w:tblCellMar>
                <w:left w:w="0" w:type="dxa"/>
                <w:right w:w="0" w:type="dxa"/>
              </w:tblCellMar>
              <w:tblLook w:val="04A0" w:firstRow="1" w:lastRow="0" w:firstColumn="1" w:lastColumn="0" w:noHBand="0" w:noVBand="1"/>
            </w:tblPr>
            <w:tblGrid>
              <w:gridCol w:w="11520"/>
            </w:tblGrid>
            <w:tr w:rsidR="0005462E" w:rsidRPr="0005462E">
              <w:trPr>
                <w:tblCellSpacing w:w="0" w:type="dxa"/>
              </w:trPr>
              <w:tc>
                <w:tcPr>
                  <w:tcW w:w="0" w:type="auto"/>
                  <w:tcMar>
                    <w:top w:w="150" w:type="dxa"/>
                    <w:left w:w="300" w:type="dxa"/>
                    <w:bottom w:w="150" w:type="dxa"/>
                    <w:right w:w="300" w:type="dxa"/>
                  </w:tcMar>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920"/>
                  </w:tblGrid>
                  <w:tr w:rsidR="0005462E" w:rsidRPr="0005462E">
                    <w:trPr>
                      <w:tblCellSpacing w:w="0" w:type="dxa"/>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20"/>
                        </w:tblGrid>
                        <w:tr w:rsidR="0005462E" w:rsidRPr="0005462E">
                          <w:trPr>
                            <w:tblCellSpacing w:w="0" w:type="dxa"/>
                            <w:jc w:val="center"/>
                          </w:trPr>
                          <w:tc>
                            <w:tcPr>
                              <w:tcW w:w="0" w:type="auto"/>
                              <w:tcMar>
                                <w:top w:w="0" w:type="dxa"/>
                                <w:left w:w="0" w:type="dxa"/>
                                <w:bottom w:w="180" w:type="dxa"/>
                                <w:right w:w="0" w:type="dxa"/>
                              </w:tcMar>
                              <w:vAlign w:val="center"/>
                              <w:hideMark/>
                            </w:tcPr>
                            <w:p w:rsidR="0005462E" w:rsidRPr="0005462E" w:rsidRDefault="0005462E" w:rsidP="0005462E">
                              <w:pPr>
                                <w:spacing w:after="0" w:line="300" w:lineRule="atLeast"/>
                                <w:rPr>
                                  <w:rFonts w:ascii="Arial" w:eastAsia="Times New Roman" w:hAnsi="Arial" w:cs="Arial"/>
                                  <w:color w:val="000000"/>
                                  <w:sz w:val="24"/>
                                  <w:szCs w:val="24"/>
                                </w:rPr>
                              </w:pPr>
                              <w:r w:rsidRPr="0005462E">
                                <w:rPr>
                                  <w:rFonts w:ascii="Arial" w:eastAsia="Times New Roman" w:hAnsi="Arial" w:cs="Arial"/>
                                  <w:color w:val="000000"/>
                                  <w:sz w:val="24"/>
                                  <w:szCs w:val="24"/>
                                </w:rPr>
                                <w:t>The College Board partners with scholarship providers connected to the SAT®, PSAT/NMSQT®, and PSAT™ 10. Through these partners, students can access </w:t>
                              </w:r>
                              <w:r w:rsidRPr="0005462E">
                                <w:rPr>
                                  <w:rFonts w:ascii="Arial" w:eastAsia="Times New Roman" w:hAnsi="Arial" w:cs="Arial"/>
                                  <w:b/>
                                  <w:bCs/>
                                  <w:color w:val="000000"/>
                                  <w:sz w:val="24"/>
                                  <w:szCs w:val="24"/>
                                </w:rPr>
                                <w:t>over $300 million</w:t>
                              </w:r>
                              <w:r w:rsidRPr="0005462E">
                                <w:rPr>
                                  <w:rFonts w:ascii="Arial" w:eastAsia="Times New Roman" w:hAnsi="Arial" w:cs="Arial"/>
                                  <w:color w:val="000000"/>
                                  <w:sz w:val="24"/>
                                  <w:szCs w:val="24"/>
                                </w:rPr>
                                <w:t> in scholarship awards. Learn more </w:t>
                              </w:r>
                              <w:hyperlink r:id="rId4" w:tgtFrame="_blank" w:history="1">
                                <w:r w:rsidRPr="0005462E">
                                  <w:rPr>
                                    <w:rFonts w:ascii="Arial" w:eastAsia="Times New Roman" w:hAnsi="Arial" w:cs="Arial"/>
                                    <w:color w:val="009CDE"/>
                                    <w:sz w:val="24"/>
                                    <w:szCs w:val="24"/>
                                    <w:u w:val="single"/>
                                  </w:rPr>
                                  <w:t>about scholarships</w:t>
                                </w:r>
                              </w:hyperlink>
                              <w:r w:rsidRPr="0005462E">
                                <w:rPr>
                                  <w:rFonts w:ascii="Arial" w:eastAsia="Times New Roman" w:hAnsi="Arial" w:cs="Arial"/>
                                  <w:color w:val="000000"/>
                                  <w:sz w:val="24"/>
                                  <w:szCs w:val="24"/>
                                </w:rPr>
                                <w:t>.</w:t>
                              </w:r>
                              <w:r w:rsidRPr="0005462E">
                                <w:rPr>
                                  <w:rFonts w:ascii="Arial" w:eastAsia="Times New Roman" w:hAnsi="Arial" w:cs="Arial"/>
                                  <w:color w:val="000000"/>
                                  <w:sz w:val="24"/>
                                  <w:szCs w:val="24"/>
                                </w:rPr>
                                <w:br/>
                              </w:r>
                              <w:r w:rsidRPr="0005462E">
                                <w:rPr>
                                  <w:rFonts w:ascii="Arial" w:eastAsia="Times New Roman" w:hAnsi="Arial" w:cs="Arial"/>
                                  <w:color w:val="000000"/>
                                  <w:sz w:val="24"/>
                                  <w:szCs w:val="24"/>
                                </w:rPr>
                                <w:br/>
                                <w:t>Below are deadline notifications for three of our partners:</w:t>
                              </w:r>
                            </w:p>
                          </w:tc>
                        </w:tr>
                        <w:tr w:rsidR="0005462E" w:rsidRPr="0005462E">
                          <w:trPr>
                            <w:tblCellSpacing w:w="0" w:type="dxa"/>
                            <w:jc w:val="center"/>
                          </w:trPr>
                          <w:tc>
                            <w:tcPr>
                              <w:tcW w:w="0" w:type="auto"/>
                              <w:tcMar>
                                <w:top w:w="0" w:type="dxa"/>
                                <w:left w:w="0" w:type="dxa"/>
                                <w:bottom w:w="180" w:type="dxa"/>
                                <w:right w:w="0" w:type="dxa"/>
                              </w:tcMar>
                              <w:vAlign w:val="center"/>
                              <w:hideMark/>
                            </w:tcPr>
                            <w:p w:rsidR="0005462E" w:rsidRPr="0005462E" w:rsidRDefault="0005462E" w:rsidP="0005462E">
                              <w:pPr>
                                <w:spacing w:after="0" w:line="375" w:lineRule="atLeast"/>
                                <w:outlineLvl w:val="1"/>
                                <w:rPr>
                                  <w:rFonts w:ascii="Rockwell" w:eastAsia="Times New Roman" w:hAnsi="Rockwell" w:cs="Helvetica"/>
                                  <w:b/>
                                  <w:bCs/>
                                  <w:color w:val="000000"/>
                                  <w:sz w:val="32"/>
                                  <w:szCs w:val="32"/>
                                </w:rPr>
                              </w:pPr>
                              <w:r w:rsidRPr="0005462E">
                                <w:rPr>
                                  <w:rFonts w:ascii="Rockwell" w:eastAsia="Times New Roman" w:hAnsi="Rockwell" w:cs="Helvetica"/>
                                  <w:b/>
                                  <w:bCs/>
                                  <w:color w:val="000000"/>
                                  <w:sz w:val="32"/>
                                  <w:szCs w:val="32"/>
                                </w:rPr>
                                <w:t>Coca-Cola Scholars Foundation</w:t>
                              </w:r>
                            </w:p>
                          </w:tc>
                        </w:tr>
                        <w:tr w:rsidR="0005462E" w:rsidRPr="0005462E">
                          <w:trPr>
                            <w:tblCellSpacing w:w="0" w:type="dxa"/>
                            <w:jc w:val="center"/>
                          </w:trPr>
                          <w:tc>
                            <w:tcPr>
                              <w:tcW w:w="0" w:type="auto"/>
                              <w:tcMar>
                                <w:top w:w="0" w:type="dxa"/>
                                <w:left w:w="0" w:type="dxa"/>
                                <w:bottom w:w="180" w:type="dxa"/>
                                <w:right w:w="0" w:type="dxa"/>
                              </w:tcMar>
                              <w:vAlign w:val="center"/>
                              <w:hideMark/>
                            </w:tcPr>
                            <w:p w:rsidR="0005462E" w:rsidRPr="0005462E" w:rsidRDefault="0005462E" w:rsidP="0005462E">
                              <w:pPr>
                                <w:spacing w:after="0" w:line="300" w:lineRule="atLeast"/>
                                <w:rPr>
                                  <w:rFonts w:ascii="Arial" w:eastAsia="Times New Roman" w:hAnsi="Arial" w:cs="Arial"/>
                                  <w:color w:val="000000"/>
                                  <w:sz w:val="24"/>
                                  <w:szCs w:val="24"/>
                                </w:rPr>
                              </w:pPr>
                              <w:r w:rsidRPr="0005462E">
                                <w:rPr>
                                  <w:rFonts w:ascii="Arial" w:eastAsia="Times New Roman" w:hAnsi="Arial" w:cs="Arial"/>
                                  <w:color w:val="000000"/>
                                  <w:sz w:val="24"/>
                                  <w:szCs w:val="24"/>
                                </w:rPr>
                                <w:t>The </w:t>
                              </w:r>
                              <w:r w:rsidRPr="0005462E">
                                <w:rPr>
                                  <w:rFonts w:ascii="Arial" w:eastAsia="Times New Roman" w:hAnsi="Arial" w:cs="Arial"/>
                                  <w:b/>
                                  <w:bCs/>
                                  <w:color w:val="000000"/>
                                  <w:sz w:val="24"/>
                                  <w:szCs w:val="24"/>
                                </w:rPr>
                                <w:t>Coca-Cola Scholars Foundation</w:t>
                              </w:r>
                              <w:r w:rsidRPr="0005462E">
                                <w:rPr>
                                  <w:rFonts w:ascii="Arial" w:eastAsia="Times New Roman" w:hAnsi="Arial" w:cs="Arial"/>
                                  <w:color w:val="000000"/>
                                  <w:sz w:val="24"/>
                                  <w:szCs w:val="24"/>
                                </w:rPr>
                                <w:t> invests in exceptional students who are dedicated to leadership, service, and action that positively affects others. Know a high school senior who fits the bill? Encourage them to apply for one of 150 college scholarships worth $20,000 by </w:t>
                              </w:r>
                              <w:r w:rsidRPr="0005462E">
                                <w:rPr>
                                  <w:rFonts w:ascii="Arial" w:eastAsia="Times New Roman" w:hAnsi="Arial" w:cs="Arial"/>
                                  <w:b/>
                                  <w:bCs/>
                                  <w:color w:val="000000"/>
                                  <w:sz w:val="24"/>
                                  <w:szCs w:val="24"/>
                                </w:rPr>
                                <w:t>October 31, 2019</w:t>
                              </w:r>
                              <w:r w:rsidRPr="0005462E">
                                <w:rPr>
                                  <w:rFonts w:ascii="Arial" w:eastAsia="Times New Roman" w:hAnsi="Arial" w:cs="Arial"/>
                                  <w:color w:val="000000"/>
                                  <w:sz w:val="24"/>
                                  <w:szCs w:val="24"/>
                                </w:rPr>
                                <w:t>, at 5 p.m. ET.</w:t>
                              </w:r>
                              <w:r w:rsidRPr="0005462E">
                                <w:rPr>
                                  <w:rFonts w:ascii="Arial" w:eastAsia="Times New Roman" w:hAnsi="Arial" w:cs="Arial"/>
                                  <w:color w:val="000000"/>
                                  <w:sz w:val="24"/>
                                  <w:szCs w:val="24"/>
                                </w:rPr>
                                <w:br/>
                              </w:r>
                              <w:r w:rsidRPr="0005462E">
                                <w:rPr>
                                  <w:rFonts w:ascii="Arial" w:eastAsia="Times New Roman" w:hAnsi="Arial" w:cs="Arial"/>
                                  <w:color w:val="000000"/>
                                  <w:sz w:val="24"/>
                                  <w:szCs w:val="24"/>
                                </w:rPr>
                                <w:br/>
                                <w:t>For more details and a link to the application, please visit their </w:t>
                              </w:r>
                              <w:hyperlink r:id="rId5" w:tgtFrame="_blank" w:history="1">
                                <w:r w:rsidRPr="0005462E">
                                  <w:rPr>
                                    <w:rFonts w:ascii="Arial" w:eastAsia="Times New Roman" w:hAnsi="Arial" w:cs="Arial"/>
                                    <w:color w:val="009CDE"/>
                                    <w:sz w:val="24"/>
                                    <w:szCs w:val="24"/>
                                    <w:u w:val="single"/>
                                  </w:rPr>
                                  <w:t>website</w:t>
                                </w:r>
                              </w:hyperlink>
                              <w:r w:rsidRPr="0005462E">
                                <w:rPr>
                                  <w:rFonts w:ascii="Arial" w:eastAsia="Times New Roman" w:hAnsi="Arial" w:cs="Arial"/>
                                  <w:color w:val="000000"/>
                                  <w:sz w:val="24"/>
                                  <w:szCs w:val="24"/>
                                </w:rPr>
                                <w:t>.</w:t>
                              </w:r>
                            </w:p>
                          </w:tc>
                        </w:tr>
                        <w:tr w:rsidR="0005462E" w:rsidRPr="0005462E">
                          <w:trPr>
                            <w:tblCellSpacing w:w="0" w:type="dxa"/>
                            <w:jc w:val="center"/>
                          </w:trPr>
                          <w:tc>
                            <w:tcPr>
                              <w:tcW w:w="0" w:type="auto"/>
                              <w:tcMar>
                                <w:top w:w="0" w:type="dxa"/>
                                <w:left w:w="0" w:type="dxa"/>
                                <w:bottom w:w="180" w:type="dxa"/>
                                <w:right w:w="0" w:type="dxa"/>
                              </w:tcMar>
                              <w:vAlign w:val="center"/>
                              <w:hideMark/>
                            </w:tcPr>
                            <w:p w:rsidR="0005462E" w:rsidRPr="0005462E" w:rsidRDefault="0005462E" w:rsidP="0005462E">
                              <w:pPr>
                                <w:spacing w:after="0" w:line="375" w:lineRule="atLeast"/>
                                <w:outlineLvl w:val="1"/>
                                <w:rPr>
                                  <w:rFonts w:ascii="Rockwell" w:eastAsia="Times New Roman" w:hAnsi="Rockwell" w:cs="Helvetica"/>
                                  <w:b/>
                                  <w:bCs/>
                                  <w:color w:val="000000"/>
                                  <w:sz w:val="32"/>
                                  <w:szCs w:val="32"/>
                                </w:rPr>
                              </w:pPr>
                              <w:r w:rsidRPr="0005462E">
                                <w:rPr>
                                  <w:rFonts w:ascii="Rockwell" w:eastAsia="Times New Roman" w:hAnsi="Rockwell" w:cs="Helvetica"/>
                                  <w:b/>
                                  <w:bCs/>
                                  <w:color w:val="000000"/>
                                  <w:sz w:val="32"/>
                                  <w:szCs w:val="32"/>
                                </w:rPr>
                                <w:t>Horatio Alger Association</w:t>
                              </w:r>
                            </w:p>
                          </w:tc>
                        </w:tr>
                        <w:tr w:rsidR="0005462E" w:rsidRPr="0005462E">
                          <w:trPr>
                            <w:tblCellSpacing w:w="0" w:type="dxa"/>
                            <w:jc w:val="center"/>
                          </w:trPr>
                          <w:tc>
                            <w:tcPr>
                              <w:tcW w:w="0" w:type="auto"/>
                              <w:tcMar>
                                <w:top w:w="0" w:type="dxa"/>
                                <w:left w:w="0" w:type="dxa"/>
                                <w:bottom w:w="180" w:type="dxa"/>
                                <w:right w:w="0" w:type="dxa"/>
                              </w:tcMar>
                              <w:vAlign w:val="center"/>
                              <w:hideMark/>
                            </w:tcPr>
                            <w:p w:rsidR="0005462E" w:rsidRPr="0005462E" w:rsidRDefault="0005462E" w:rsidP="0005462E">
                              <w:pPr>
                                <w:spacing w:after="0" w:line="300" w:lineRule="atLeast"/>
                                <w:rPr>
                                  <w:rFonts w:ascii="Arial" w:eastAsia="Times New Roman" w:hAnsi="Arial" w:cs="Arial"/>
                                  <w:color w:val="000000"/>
                                  <w:sz w:val="24"/>
                                  <w:szCs w:val="24"/>
                                </w:rPr>
                              </w:pPr>
                              <w:r w:rsidRPr="0005462E">
                                <w:rPr>
                                  <w:rFonts w:ascii="Arial" w:eastAsia="Times New Roman" w:hAnsi="Arial" w:cs="Arial"/>
                                  <w:color w:val="000000"/>
                                  <w:sz w:val="24"/>
                                  <w:szCs w:val="24"/>
                                </w:rPr>
                                <w:t>As one of the nation's largest need-based college scholarship programs in the country, the </w:t>
                              </w:r>
                              <w:r w:rsidRPr="0005462E">
                                <w:rPr>
                                  <w:rFonts w:ascii="Arial" w:eastAsia="Times New Roman" w:hAnsi="Arial" w:cs="Arial"/>
                                  <w:b/>
                                  <w:bCs/>
                                  <w:color w:val="000000"/>
                                  <w:sz w:val="24"/>
                                  <w:szCs w:val="24"/>
                                </w:rPr>
                                <w:t>Horatio Alger Scholarship Programs</w:t>
                              </w:r>
                              <w:r w:rsidRPr="0005462E">
                                <w:rPr>
                                  <w:rFonts w:ascii="Arial" w:eastAsia="Times New Roman" w:hAnsi="Arial" w:cs="Arial"/>
                                  <w:color w:val="000000"/>
                                  <w:sz w:val="24"/>
                                  <w:szCs w:val="24"/>
                                </w:rPr>
                                <w:t> specifically assist high school students who've faced and overcome great obstacles in their young lives. While many programs are directed primarily to recognizing academic achievement or leadership potential, the Horatio Alger Association seeks students who've exhibited determination, integrity, and perseverance in overcoming adversity, in addition to having critical financial need.</w:t>
                              </w:r>
                              <w:r w:rsidRPr="0005462E">
                                <w:rPr>
                                  <w:rFonts w:ascii="Arial" w:eastAsia="Times New Roman" w:hAnsi="Arial" w:cs="Arial"/>
                                  <w:color w:val="000000"/>
                                  <w:sz w:val="24"/>
                                  <w:szCs w:val="24"/>
                                </w:rPr>
                                <w:br/>
                              </w:r>
                              <w:r w:rsidRPr="0005462E">
                                <w:rPr>
                                  <w:rFonts w:ascii="Arial" w:eastAsia="Times New Roman" w:hAnsi="Arial" w:cs="Arial"/>
                                  <w:color w:val="000000"/>
                                  <w:sz w:val="24"/>
                                  <w:szCs w:val="24"/>
                                </w:rPr>
                                <w:br/>
                                <w:t>The </w:t>
                              </w:r>
                              <w:hyperlink r:id="rId6" w:tgtFrame="_blank" w:history="1">
                                <w:r w:rsidRPr="0005462E">
                                  <w:rPr>
                                    <w:rFonts w:ascii="Arial" w:eastAsia="Times New Roman" w:hAnsi="Arial" w:cs="Arial"/>
                                    <w:color w:val="009CDE"/>
                                    <w:sz w:val="24"/>
                                    <w:szCs w:val="24"/>
                                    <w:u w:val="single"/>
                                  </w:rPr>
                                  <w:t>online application</w:t>
                                </w:r>
                              </w:hyperlink>
                              <w:r w:rsidRPr="0005462E">
                                <w:rPr>
                                  <w:rFonts w:ascii="Arial" w:eastAsia="Times New Roman" w:hAnsi="Arial" w:cs="Arial"/>
                                  <w:color w:val="000000"/>
                                  <w:sz w:val="24"/>
                                  <w:szCs w:val="24"/>
                                </w:rPr>
                                <w:t> is open until </w:t>
                              </w:r>
                              <w:r w:rsidRPr="0005462E">
                                <w:rPr>
                                  <w:rFonts w:ascii="Arial" w:eastAsia="Times New Roman" w:hAnsi="Arial" w:cs="Arial"/>
                                  <w:b/>
                                  <w:bCs/>
                                  <w:color w:val="000000"/>
                                  <w:sz w:val="24"/>
                                  <w:szCs w:val="24"/>
                                </w:rPr>
                                <w:t>October 25</w:t>
                              </w:r>
                              <w:r w:rsidRPr="0005462E">
                                <w:rPr>
                                  <w:rFonts w:ascii="Arial" w:eastAsia="Times New Roman" w:hAnsi="Arial" w:cs="Arial"/>
                                  <w:color w:val="000000"/>
                                  <w:sz w:val="24"/>
                                  <w:szCs w:val="24"/>
                                </w:rPr>
                                <w:t> for undergraduate scholarships.</w:t>
                              </w:r>
                              <w:r w:rsidRPr="0005462E">
                                <w:rPr>
                                  <w:rFonts w:ascii="Arial" w:eastAsia="Times New Roman" w:hAnsi="Arial" w:cs="Arial"/>
                                  <w:color w:val="000000"/>
                                  <w:sz w:val="24"/>
                                  <w:szCs w:val="24"/>
                                </w:rPr>
                                <w:br/>
                              </w:r>
                              <w:r w:rsidRPr="0005462E">
                                <w:rPr>
                                  <w:rFonts w:ascii="Arial" w:eastAsia="Times New Roman" w:hAnsi="Arial" w:cs="Arial"/>
                                  <w:color w:val="000000"/>
                                  <w:sz w:val="24"/>
                                  <w:szCs w:val="24"/>
                                </w:rPr>
                                <w:br/>
                                <w:t>For more information about the Horatio Alger Scholarship Programs, please visit their </w:t>
                              </w:r>
                              <w:hyperlink r:id="rId7" w:tgtFrame="_blank" w:history="1">
                                <w:r w:rsidRPr="0005462E">
                                  <w:rPr>
                                    <w:rFonts w:ascii="Arial" w:eastAsia="Times New Roman" w:hAnsi="Arial" w:cs="Arial"/>
                                    <w:color w:val="009CDE"/>
                                    <w:sz w:val="24"/>
                                    <w:szCs w:val="24"/>
                                    <w:u w:val="single"/>
                                  </w:rPr>
                                  <w:t>website</w:t>
                                </w:r>
                              </w:hyperlink>
                              <w:r w:rsidRPr="0005462E">
                                <w:rPr>
                                  <w:rFonts w:ascii="Arial" w:eastAsia="Times New Roman" w:hAnsi="Arial" w:cs="Arial"/>
                                  <w:color w:val="000000"/>
                                  <w:sz w:val="24"/>
                                  <w:szCs w:val="24"/>
                                </w:rPr>
                                <w:t>.</w:t>
                              </w:r>
                            </w:p>
                          </w:tc>
                        </w:tr>
                        <w:tr w:rsidR="0005462E" w:rsidRPr="0005462E">
                          <w:trPr>
                            <w:tblCellSpacing w:w="0" w:type="dxa"/>
                            <w:jc w:val="center"/>
                          </w:trPr>
                          <w:tc>
                            <w:tcPr>
                              <w:tcW w:w="0" w:type="auto"/>
                              <w:tcMar>
                                <w:top w:w="0" w:type="dxa"/>
                                <w:left w:w="0" w:type="dxa"/>
                                <w:bottom w:w="180" w:type="dxa"/>
                                <w:right w:w="0" w:type="dxa"/>
                              </w:tcMar>
                              <w:vAlign w:val="center"/>
                              <w:hideMark/>
                            </w:tcPr>
                            <w:p w:rsidR="0005462E" w:rsidRPr="0005462E" w:rsidRDefault="0005462E" w:rsidP="0005462E">
                              <w:pPr>
                                <w:spacing w:after="0" w:line="375" w:lineRule="atLeast"/>
                                <w:outlineLvl w:val="1"/>
                                <w:rPr>
                                  <w:rFonts w:ascii="Rockwell" w:eastAsia="Times New Roman" w:hAnsi="Rockwell" w:cs="Helvetica"/>
                                  <w:b/>
                                  <w:bCs/>
                                  <w:color w:val="000000"/>
                                  <w:sz w:val="32"/>
                                  <w:szCs w:val="32"/>
                                </w:rPr>
                              </w:pPr>
                              <w:r w:rsidRPr="0005462E">
                                <w:rPr>
                                  <w:rFonts w:ascii="Rockwell" w:eastAsia="Times New Roman" w:hAnsi="Rockwell" w:cs="Helvetica"/>
                                  <w:b/>
                                  <w:bCs/>
                                  <w:color w:val="000000"/>
                                  <w:sz w:val="32"/>
                                  <w:szCs w:val="32"/>
                                </w:rPr>
                                <w:t>Jack Kent Cooke Foundation</w:t>
                              </w:r>
                            </w:p>
                          </w:tc>
                        </w:tr>
                        <w:tr w:rsidR="0005462E" w:rsidRPr="0005462E">
                          <w:trPr>
                            <w:tblCellSpacing w:w="0" w:type="dxa"/>
                            <w:jc w:val="center"/>
                          </w:trPr>
                          <w:tc>
                            <w:tcPr>
                              <w:tcW w:w="0" w:type="auto"/>
                              <w:tcMar>
                                <w:top w:w="0" w:type="dxa"/>
                                <w:left w:w="0" w:type="dxa"/>
                                <w:bottom w:w="180" w:type="dxa"/>
                                <w:right w:w="0" w:type="dxa"/>
                              </w:tcMar>
                              <w:vAlign w:val="center"/>
                              <w:hideMark/>
                            </w:tcPr>
                            <w:p w:rsidR="0005462E" w:rsidRPr="0005462E" w:rsidRDefault="0005462E" w:rsidP="0005462E">
                              <w:pPr>
                                <w:spacing w:after="0" w:line="300" w:lineRule="atLeast"/>
                                <w:rPr>
                                  <w:rFonts w:ascii="Arial" w:eastAsia="Times New Roman" w:hAnsi="Arial" w:cs="Arial"/>
                                  <w:color w:val="000000"/>
                                  <w:sz w:val="24"/>
                                  <w:szCs w:val="24"/>
                                </w:rPr>
                              </w:pPr>
                              <w:r w:rsidRPr="0005462E">
                                <w:rPr>
                                  <w:rFonts w:ascii="Arial" w:eastAsia="Times New Roman" w:hAnsi="Arial" w:cs="Arial"/>
                                  <w:color w:val="000000"/>
                                  <w:sz w:val="24"/>
                                  <w:szCs w:val="24"/>
                                </w:rPr>
                                <w:t>Scholarships can open doors for students who aspire to go to college but don't have the funds. The </w:t>
                              </w:r>
                              <w:r w:rsidRPr="0005462E">
                                <w:rPr>
                                  <w:rFonts w:ascii="Arial" w:eastAsia="Times New Roman" w:hAnsi="Arial" w:cs="Arial"/>
                                  <w:b/>
                                  <w:bCs/>
                                  <w:color w:val="000000"/>
                                  <w:sz w:val="24"/>
                                  <w:szCs w:val="24"/>
                                </w:rPr>
                                <w:t>Jack Kent Cooke Foundation's College Scholarship Program</w:t>
                              </w:r>
                              <w:r w:rsidRPr="0005462E">
                                <w:rPr>
                                  <w:rFonts w:ascii="Arial" w:eastAsia="Times New Roman" w:hAnsi="Arial" w:cs="Arial"/>
                                  <w:color w:val="000000"/>
                                  <w:sz w:val="24"/>
                                  <w:szCs w:val="24"/>
                                </w:rPr>
                                <w:t> is an undergraduate scholarship program available to high-achieving high school seniors with financial need who seek to attend and graduate from the nation's best four-year colleges and universities. In addition to the monetary award, Cooke scholars receive comprehensive educational advising, significant cohort-based programming, and graduate school funding, as well as access to a thriving network of more than 2,600 fellow Cooke scholars and alumni.</w:t>
                              </w:r>
                              <w:r w:rsidRPr="0005462E">
                                <w:rPr>
                                  <w:rFonts w:ascii="Arial" w:eastAsia="Times New Roman" w:hAnsi="Arial" w:cs="Arial"/>
                                  <w:color w:val="000000"/>
                                  <w:sz w:val="24"/>
                                  <w:szCs w:val="24"/>
                                </w:rPr>
                                <w:br/>
                              </w:r>
                              <w:r w:rsidRPr="0005462E">
                                <w:rPr>
                                  <w:rFonts w:ascii="Arial" w:eastAsia="Times New Roman" w:hAnsi="Arial" w:cs="Arial"/>
                                  <w:color w:val="000000"/>
                                  <w:sz w:val="24"/>
                                  <w:szCs w:val="24"/>
                                </w:rPr>
                                <w:br/>
                                <w:t>The Cooke Foundation College Scholarship Program application (exclusively through the Common App) closes </w:t>
                              </w:r>
                              <w:r w:rsidRPr="0005462E">
                                <w:rPr>
                                  <w:rFonts w:ascii="Arial" w:eastAsia="Times New Roman" w:hAnsi="Arial" w:cs="Arial"/>
                                  <w:b/>
                                  <w:bCs/>
                                  <w:color w:val="000000"/>
                                  <w:sz w:val="24"/>
                                  <w:szCs w:val="24"/>
                                </w:rPr>
                                <w:t>November 13, 2019</w:t>
                              </w:r>
                              <w:r w:rsidRPr="0005462E">
                                <w:rPr>
                                  <w:rFonts w:ascii="Arial" w:eastAsia="Times New Roman" w:hAnsi="Arial" w:cs="Arial"/>
                                  <w:color w:val="000000"/>
                                  <w:sz w:val="24"/>
                                  <w:szCs w:val="24"/>
                                </w:rPr>
                                <w:t>.</w:t>
                              </w:r>
                            </w:p>
                          </w:tc>
                        </w:tr>
                      </w:tbl>
                      <w:p w:rsidR="0005462E" w:rsidRPr="0005462E" w:rsidRDefault="0005462E" w:rsidP="0005462E">
                        <w:pPr>
                          <w:spacing w:after="0" w:line="240" w:lineRule="auto"/>
                          <w:jc w:val="center"/>
                          <w:rPr>
                            <w:rFonts w:ascii="Helvetica" w:eastAsia="Times New Roman" w:hAnsi="Helvetica" w:cs="Helvetica"/>
                            <w:sz w:val="24"/>
                            <w:szCs w:val="24"/>
                          </w:rPr>
                        </w:pPr>
                      </w:p>
                    </w:tc>
                  </w:tr>
                </w:tbl>
                <w:p w:rsidR="0005462E" w:rsidRPr="0005462E" w:rsidRDefault="0005462E" w:rsidP="0005462E">
                  <w:pPr>
                    <w:spacing w:after="0" w:line="240" w:lineRule="auto"/>
                    <w:jc w:val="center"/>
                    <w:rPr>
                      <w:rFonts w:ascii="Helvetica" w:eastAsia="Times New Roman" w:hAnsi="Helvetica" w:cs="Helvetica"/>
                      <w:sz w:val="24"/>
                      <w:szCs w:val="24"/>
                    </w:rPr>
                  </w:pPr>
                </w:p>
              </w:tc>
            </w:tr>
          </w:tbl>
          <w:p w:rsidR="0005462E" w:rsidRPr="0005462E" w:rsidRDefault="0005462E" w:rsidP="0005462E">
            <w:pPr>
              <w:spacing w:after="0" w:line="240" w:lineRule="auto"/>
              <w:rPr>
                <w:rFonts w:ascii="Helvetica" w:eastAsia="Times New Roman" w:hAnsi="Helvetica" w:cs="Helvetica"/>
                <w:color w:val="222222"/>
                <w:sz w:val="24"/>
                <w:szCs w:val="24"/>
              </w:rPr>
            </w:pPr>
          </w:p>
        </w:tc>
      </w:tr>
    </w:tbl>
    <w:p w:rsidR="00C54736" w:rsidRDefault="00C54736"/>
    <w:sectPr w:rsidR="00C54736" w:rsidSect="0005462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2E"/>
    <w:rsid w:val="0005462E"/>
    <w:rsid w:val="00524BEC"/>
    <w:rsid w:val="006516E2"/>
    <w:rsid w:val="00C5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03BD"/>
  <w15:chartTrackingRefBased/>
  <w15:docId w15:val="{9B2E7C15-F25D-4588-8BDD-784C3AF5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46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46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6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46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4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147">
      <w:bodyDiv w:val="1"/>
      <w:marLeft w:val="0"/>
      <w:marRight w:val="0"/>
      <w:marTop w:val="0"/>
      <w:marBottom w:val="0"/>
      <w:divBdr>
        <w:top w:val="none" w:sz="0" w:space="0" w:color="auto"/>
        <w:left w:val="none" w:sz="0" w:space="0" w:color="auto"/>
        <w:bottom w:val="none" w:sz="0" w:space="0" w:color="auto"/>
        <w:right w:val="none" w:sz="0" w:space="0" w:color="auto"/>
      </w:divBdr>
      <w:divsChild>
        <w:div w:id="109316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ck.e.collegeboard.org/?qs=02f8ba7b378a43565c4c3f372416f9d01783a60e250f998b591e5700ec90d303683047b3a8f3ab40194af2f69b33b7e4e2aa2ac117d570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e.collegeboard.org/?qs=02f8ba7b378a4356239399cf06398d49c576fec6f4add43cc7095d01c09da1cf814eeb484ae0d565168180e1b567d5072154e090dc925624" TargetMode="External"/><Relationship Id="rId5" Type="http://schemas.openxmlformats.org/officeDocument/2006/relationships/hyperlink" Target="https://click.e.collegeboard.org/?qs=25c08f29ae29e813373c7ecbd4d15798caedd03522f7b85441f3a6950f20822a206ebbbd3032c902f306e1b8e9b33e57671213de11f40696" TargetMode="External"/><Relationship Id="rId4" Type="http://schemas.openxmlformats.org/officeDocument/2006/relationships/hyperlink" Target="https://click.e.collegeboard.org/?qs=25c08f29ae29e813de2159838a0cf50321d2eebd3ec16b15e85b6c8144331cc9d639334ee4aa11c1da87def7caa5ad4748a35d4c442464b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2512</Characters>
  <Application>Microsoft Office Word</Application>
  <DocSecurity>0</DocSecurity>
  <Lines>20</Lines>
  <Paragraphs>5</Paragraphs>
  <ScaleCrop>false</ScaleCrop>
  <Company>USD 263 Mulvane Schools</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Gutzmer, Christy</dc:creator>
  <cp:keywords/>
  <dc:description/>
  <cp:lastModifiedBy>Gutzmer, Christy</cp:lastModifiedBy>
  <cp:revision>1</cp:revision>
  <dcterms:created xsi:type="dcterms:W3CDTF">2019-10-04T14:59:00Z</dcterms:created>
  <dcterms:modified xsi:type="dcterms:W3CDTF">2019-10-04T15:03:00Z</dcterms:modified>
</cp:coreProperties>
</file>