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90"/>
      </w:tblGrid>
      <w:tr w:rsidR="00143464" w:rsidRPr="00143464" w:rsidTr="00143464">
        <w:trPr>
          <w:tblCellSpacing w:w="15" w:type="dxa"/>
          <w:jc w:val="center"/>
        </w:trPr>
        <w:tc>
          <w:tcPr>
            <w:tcW w:w="0" w:type="auto"/>
            <w:hideMark/>
          </w:tcPr>
          <w:p w:rsidR="00143464" w:rsidRPr="00143464" w:rsidRDefault="00143464" w:rsidP="00143464">
            <w:pPr>
              <w:spacing w:after="0" w:line="240" w:lineRule="auto"/>
              <w:rPr>
                <w:rFonts w:ascii="Helvetica" w:eastAsia="Times New Roman" w:hAnsi="Helvetica" w:cs="Helvetica"/>
                <w:color w:val="222222"/>
                <w:sz w:val="24"/>
                <w:szCs w:val="24"/>
              </w:rPr>
            </w:pPr>
            <w:r w:rsidRPr="00143464">
              <w:rPr>
                <w:rFonts w:ascii="Helvetica" w:eastAsia="Times New Roman" w:hAnsi="Helvetica" w:cs="Helvetica"/>
                <w:noProof/>
                <w:color w:val="222222"/>
                <w:sz w:val="24"/>
                <w:szCs w:val="24"/>
              </w:rPr>
              <w:drawing>
                <wp:inline distT="0" distB="0" distL="0" distR="0" wp14:anchorId="6208DAEC" wp14:editId="6D21ABE0">
                  <wp:extent cx="5715000" cy="7429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bl>
    <w:p w:rsidR="00143464" w:rsidRPr="00143464" w:rsidRDefault="00143464" w:rsidP="00143464">
      <w:pPr>
        <w:spacing w:after="0" w:line="240" w:lineRule="auto"/>
        <w:rPr>
          <w:rFonts w:ascii="Times New Roman" w:eastAsia="Times New Roman" w:hAnsi="Times New Roman" w:cs="Times New Roman"/>
          <w:vanish/>
          <w:sz w:val="24"/>
          <w:szCs w:val="24"/>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143464" w:rsidRPr="00143464" w:rsidTr="00143464">
        <w:trPr>
          <w:tblCellSpacing w:w="15" w:type="dxa"/>
          <w:jc w:val="center"/>
        </w:trPr>
        <w:tc>
          <w:tcPr>
            <w:tcW w:w="0" w:type="auto"/>
            <w:vAlign w:val="center"/>
            <w:hideMark/>
          </w:tcPr>
          <w:p w:rsidR="00143464" w:rsidRPr="00143464" w:rsidRDefault="00143464" w:rsidP="00143464">
            <w:pPr>
              <w:spacing w:before="100" w:beforeAutospacing="1" w:after="100" w:afterAutospacing="1" w:line="240" w:lineRule="auto"/>
              <w:outlineLvl w:val="0"/>
              <w:rPr>
                <w:rFonts w:ascii="Helvetica" w:eastAsia="Times New Roman" w:hAnsi="Helvetica" w:cs="Helvetica"/>
                <w:b/>
                <w:bCs/>
                <w:color w:val="222222"/>
                <w:kern w:val="36"/>
                <w:sz w:val="48"/>
                <w:szCs w:val="48"/>
              </w:rPr>
            </w:pPr>
            <w:r w:rsidRPr="00143464">
              <w:rPr>
                <w:rFonts w:ascii="Helvetica" w:eastAsia="Times New Roman" w:hAnsi="Helvetica" w:cs="Helvetica"/>
                <w:b/>
                <w:bCs/>
                <w:color w:val="222222"/>
                <w:kern w:val="36"/>
                <w:sz w:val="48"/>
                <w:szCs w:val="48"/>
              </w:rPr>
              <w:t>Upcoming KU Deadlines &amp; Reminders</w:t>
            </w:r>
          </w:p>
        </w:tc>
      </w:tr>
      <w:tr w:rsidR="00143464" w:rsidRPr="00143464" w:rsidTr="00143464">
        <w:trPr>
          <w:trHeight w:val="8610"/>
          <w:tblCellSpacing w:w="15" w:type="dxa"/>
          <w:jc w:val="center"/>
        </w:trPr>
        <w:tc>
          <w:tcPr>
            <w:tcW w:w="0" w:type="auto"/>
            <w:vAlign w:val="center"/>
            <w:hideMark/>
          </w:tcPr>
          <w:p w:rsidR="00143464" w:rsidRPr="00143464" w:rsidRDefault="00143464" w:rsidP="00143464">
            <w:pPr>
              <w:spacing w:before="100" w:beforeAutospacing="1" w:after="100" w:afterAutospacing="1" w:line="240" w:lineRule="auto"/>
              <w:rPr>
                <w:rFonts w:ascii="Helvetica" w:eastAsia="Times New Roman" w:hAnsi="Helvetica" w:cs="Helvetica"/>
                <w:color w:val="222222"/>
                <w:sz w:val="24"/>
                <w:szCs w:val="24"/>
              </w:rPr>
            </w:pPr>
            <w:r w:rsidRPr="00143464">
              <w:rPr>
                <w:rFonts w:ascii="Arial" w:eastAsia="Times New Roman" w:hAnsi="Arial" w:cs="Arial"/>
                <w:b/>
                <w:bCs/>
                <w:color w:val="222222"/>
                <w:sz w:val="24"/>
                <w:szCs w:val="24"/>
              </w:rPr>
              <w:t>FAFSA Open Oct. 1</w:t>
            </w:r>
            <w:r w:rsidRPr="00143464">
              <w:rPr>
                <w:rFonts w:ascii="Arial" w:eastAsia="Times New Roman" w:hAnsi="Arial" w:cs="Arial"/>
                <w:color w:val="222222"/>
                <w:sz w:val="24"/>
                <w:szCs w:val="24"/>
              </w:rPr>
              <w:br/>
              <w:t>The FAFSA is now available, and uses tax information from 2018. Encourage students to file early so they can receive a clear picture of their financial aid package earlier. The priority deadline to apply is Dec. 1. </w:t>
            </w:r>
            <w:hyperlink r:id="rId5" w:tgtFrame="_blank" w:history="1">
              <w:r w:rsidRPr="00143464">
                <w:rPr>
                  <w:rFonts w:ascii="Arial" w:eastAsia="Times New Roman" w:hAnsi="Arial" w:cs="Arial"/>
                  <w:color w:val="0051BA"/>
                  <w:sz w:val="24"/>
                  <w:szCs w:val="24"/>
                  <w:u w:val="single"/>
                </w:rPr>
                <w:t>fafsa.gov</w:t>
              </w:r>
            </w:hyperlink>
            <w:r w:rsidRPr="00143464">
              <w:rPr>
                <w:rFonts w:ascii="Arial" w:eastAsia="Times New Roman" w:hAnsi="Arial" w:cs="Arial"/>
                <w:color w:val="222222"/>
                <w:sz w:val="24"/>
                <w:szCs w:val="24"/>
              </w:rPr>
              <w:br/>
            </w:r>
            <w:r w:rsidRPr="00143464">
              <w:rPr>
                <w:rFonts w:ascii="Arial" w:eastAsia="Times New Roman" w:hAnsi="Arial" w:cs="Arial"/>
                <w:color w:val="222222"/>
                <w:sz w:val="24"/>
                <w:szCs w:val="24"/>
              </w:rPr>
              <w:br/>
            </w:r>
            <w:r w:rsidRPr="00143464">
              <w:rPr>
                <w:rFonts w:ascii="Arial" w:eastAsia="Times New Roman" w:hAnsi="Arial" w:cs="Arial"/>
                <w:b/>
                <w:bCs/>
                <w:color w:val="222222"/>
                <w:sz w:val="24"/>
                <w:szCs w:val="24"/>
              </w:rPr>
              <w:t>Crimson &amp; Blue Day: Oct. 18</w:t>
            </w:r>
            <w:r w:rsidRPr="00143464">
              <w:rPr>
                <w:rFonts w:ascii="Arial" w:eastAsia="Times New Roman" w:hAnsi="Arial" w:cs="Arial"/>
                <w:color w:val="222222"/>
                <w:sz w:val="24"/>
                <w:szCs w:val="24"/>
              </w:rPr>
              <w:br/>
              <w:t>Crimson &amp; Blue Day provides an overview of all the amazing things KU has to offer, from outstanding academic programs to rich traditions and history. This open-house style event allows prospective students to choose which tours and sessions they would like to experience. Come and go as their schedule allows. Encourage your students to </w:t>
            </w:r>
            <w:hyperlink r:id="rId6" w:tgtFrame="_blank" w:history="1">
              <w:r w:rsidRPr="00143464">
                <w:rPr>
                  <w:rFonts w:ascii="Arial" w:eastAsia="Times New Roman" w:hAnsi="Arial" w:cs="Arial"/>
                  <w:color w:val="0051BA"/>
                  <w:sz w:val="24"/>
                  <w:szCs w:val="24"/>
                  <w:u w:val="single"/>
                </w:rPr>
                <w:t>register now</w:t>
              </w:r>
            </w:hyperlink>
            <w:r w:rsidRPr="00143464">
              <w:rPr>
                <w:rFonts w:ascii="Arial" w:eastAsia="Times New Roman" w:hAnsi="Arial" w:cs="Arial"/>
                <w:color w:val="222222"/>
                <w:sz w:val="24"/>
                <w:szCs w:val="24"/>
              </w:rPr>
              <w:t>!</w:t>
            </w:r>
            <w:r w:rsidRPr="00143464">
              <w:rPr>
                <w:rFonts w:ascii="Arial" w:eastAsia="Times New Roman" w:hAnsi="Arial" w:cs="Arial"/>
                <w:color w:val="222222"/>
                <w:sz w:val="24"/>
                <w:szCs w:val="24"/>
              </w:rPr>
              <w:br/>
              <w:t>  </w:t>
            </w:r>
            <w:r w:rsidRPr="00143464">
              <w:rPr>
                <w:rFonts w:ascii="Arial" w:eastAsia="Times New Roman" w:hAnsi="Arial" w:cs="Arial"/>
                <w:color w:val="222222"/>
                <w:sz w:val="24"/>
                <w:szCs w:val="24"/>
              </w:rPr>
              <w:br/>
            </w:r>
            <w:r w:rsidRPr="00143464">
              <w:rPr>
                <w:rFonts w:ascii="Arial" w:eastAsia="Times New Roman" w:hAnsi="Arial" w:cs="Arial"/>
                <w:b/>
                <w:bCs/>
                <w:color w:val="222222"/>
                <w:sz w:val="24"/>
                <w:szCs w:val="24"/>
              </w:rPr>
              <w:t>KU Scholarship Deadline: Nov. 1</w:t>
            </w:r>
            <w:r w:rsidRPr="00143464">
              <w:rPr>
                <w:rFonts w:ascii="Arial" w:eastAsia="Times New Roman" w:hAnsi="Arial" w:cs="Arial"/>
                <w:color w:val="222222"/>
                <w:sz w:val="24"/>
                <w:szCs w:val="24"/>
              </w:rPr>
              <w:br/>
              <w:t>Students who apply by Nov. 1 are automatically considered for thousands of dollars in scholarships. As a reminder, students can submit their December test score for scholarship consideration, so long as they apply by Nov. 1. </w:t>
            </w:r>
            <w:hyperlink r:id="rId7" w:tgtFrame="_blank" w:history="1">
              <w:r w:rsidRPr="00143464">
                <w:rPr>
                  <w:rFonts w:ascii="Arial" w:eastAsia="Times New Roman" w:hAnsi="Arial" w:cs="Arial"/>
                  <w:color w:val="0051BA"/>
                  <w:sz w:val="24"/>
                  <w:szCs w:val="24"/>
                  <w:u w:val="single"/>
                </w:rPr>
                <w:t>apply.ku.edu</w:t>
              </w:r>
            </w:hyperlink>
            <w:r w:rsidRPr="00143464">
              <w:rPr>
                <w:rFonts w:ascii="Arial" w:eastAsia="Times New Roman" w:hAnsi="Arial" w:cs="Arial"/>
                <w:color w:val="222222"/>
                <w:sz w:val="24"/>
                <w:szCs w:val="24"/>
              </w:rPr>
              <w:br/>
            </w:r>
            <w:r w:rsidRPr="00143464">
              <w:rPr>
                <w:rFonts w:ascii="Arial" w:eastAsia="Times New Roman" w:hAnsi="Arial" w:cs="Arial"/>
                <w:color w:val="222222"/>
                <w:sz w:val="24"/>
                <w:szCs w:val="24"/>
              </w:rPr>
              <w:br/>
            </w:r>
            <w:r w:rsidRPr="00143464">
              <w:rPr>
                <w:rFonts w:ascii="Arial" w:eastAsia="Times New Roman" w:hAnsi="Arial" w:cs="Arial"/>
                <w:b/>
                <w:bCs/>
                <w:color w:val="222222"/>
                <w:sz w:val="24"/>
                <w:szCs w:val="24"/>
              </w:rPr>
              <w:t>Encourage Honors Program applicants</w:t>
            </w:r>
            <w:r w:rsidRPr="00143464">
              <w:rPr>
                <w:rFonts w:ascii="Arial" w:eastAsia="Times New Roman" w:hAnsi="Arial" w:cs="Arial"/>
                <w:color w:val="222222"/>
                <w:sz w:val="24"/>
                <w:szCs w:val="24"/>
              </w:rPr>
              <w:br/>
              <w:t>Honors students experience highly individualized advising, engaging courses taught by outstanding faculty members and post-grad success - University Honors has a 98 percent graduate placement rate which is one of the highest in the nation. Priority application date is Nov. 1. </w:t>
            </w:r>
            <w:hyperlink r:id="rId8" w:tgtFrame="_blank" w:history="1">
              <w:r w:rsidRPr="00143464">
                <w:rPr>
                  <w:rFonts w:ascii="Arial" w:eastAsia="Times New Roman" w:hAnsi="Arial" w:cs="Arial"/>
                  <w:color w:val="0051BA"/>
                  <w:sz w:val="24"/>
                  <w:szCs w:val="24"/>
                  <w:u w:val="single"/>
                </w:rPr>
                <w:t>honors.ku.edu</w:t>
              </w:r>
            </w:hyperlink>
            <w:r w:rsidRPr="00143464">
              <w:rPr>
                <w:rFonts w:ascii="Arial" w:eastAsia="Times New Roman" w:hAnsi="Arial" w:cs="Arial"/>
                <w:color w:val="222222"/>
                <w:sz w:val="24"/>
                <w:szCs w:val="24"/>
              </w:rPr>
              <w:br/>
            </w:r>
            <w:r w:rsidRPr="00143464">
              <w:rPr>
                <w:rFonts w:ascii="Arial" w:eastAsia="Times New Roman" w:hAnsi="Arial" w:cs="Arial"/>
                <w:color w:val="222222"/>
                <w:sz w:val="24"/>
                <w:szCs w:val="24"/>
              </w:rPr>
              <w:br/>
            </w:r>
            <w:r w:rsidRPr="00143464">
              <w:rPr>
                <w:rFonts w:ascii="Arial" w:eastAsia="Times New Roman" w:hAnsi="Arial" w:cs="Arial"/>
                <w:b/>
                <w:bCs/>
                <w:color w:val="222222"/>
                <w:sz w:val="24"/>
                <w:szCs w:val="24"/>
              </w:rPr>
              <w:t>New Net Price Calculator</w:t>
            </w:r>
            <w:r w:rsidRPr="00143464">
              <w:rPr>
                <w:rFonts w:ascii="Arial" w:eastAsia="Times New Roman" w:hAnsi="Arial" w:cs="Arial"/>
                <w:color w:val="222222"/>
                <w:sz w:val="24"/>
                <w:szCs w:val="24"/>
              </w:rPr>
              <w:br/>
              <w:t>The new KU Net Price Calculator (NPC) is now available for prospective freshmen and transfer students to calculate their estimated costs and financial aid for the 2020-21 school year. In addition to calculating standard cost components like tuition and fees, the new NPC allows students to see how their cost varies based on their housing and meal plan choices. It also includes a more robust offering of federal, state and institutional financial aid, as well as VA benefits. </w:t>
            </w:r>
            <w:hyperlink r:id="rId9" w:tgtFrame="_blank" w:history="1">
              <w:r w:rsidRPr="00143464">
                <w:rPr>
                  <w:rFonts w:ascii="Arial" w:eastAsia="Times New Roman" w:hAnsi="Arial" w:cs="Arial"/>
                  <w:color w:val="0051BA"/>
                  <w:sz w:val="24"/>
                  <w:szCs w:val="24"/>
                  <w:u w:val="single"/>
                </w:rPr>
                <w:t>ku.studentaidcalculator.com</w:t>
              </w:r>
            </w:hyperlink>
            <w:r w:rsidRPr="00143464">
              <w:rPr>
                <w:rFonts w:ascii="Arial" w:eastAsia="Times New Roman" w:hAnsi="Arial" w:cs="Arial"/>
                <w:color w:val="222222"/>
                <w:sz w:val="24"/>
                <w:szCs w:val="24"/>
              </w:rPr>
              <w:br/>
            </w:r>
          </w:p>
        </w:tc>
      </w:tr>
    </w:tbl>
    <w:p w:rsidR="00143464" w:rsidRPr="00143464" w:rsidRDefault="00143464" w:rsidP="00143464">
      <w:pPr>
        <w:spacing w:after="0" w:line="240" w:lineRule="auto"/>
        <w:rPr>
          <w:rFonts w:ascii="Times New Roman" w:eastAsia="Times New Roman" w:hAnsi="Times New Roman" w:cs="Times New Roman"/>
          <w:vanish/>
          <w:sz w:val="24"/>
          <w:szCs w:val="24"/>
        </w:rPr>
      </w:pPr>
    </w:p>
    <w:tbl>
      <w:tblPr>
        <w:tblW w:w="5162" w:type="pct"/>
        <w:tblCellSpacing w:w="0" w:type="dxa"/>
        <w:shd w:val="clear" w:color="auto" w:fill="FFFFFF"/>
        <w:tblCellMar>
          <w:left w:w="0" w:type="dxa"/>
          <w:right w:w="0" w:type="dxa"/>
        </w:tblCellMar>
        <w:tblLook w:val="04A0" w:firstRow="1" w:lastRow="0" w:firstColumn="1" w:lastColumn="0" w:noHBand="0" w:noVBand="1"/>
      </w:tblPr>
      <w:tblGrid>
        <w:gridCol w:w="11893"/>
      </w:tblGrid>
      <w:tr w:rsidR="00143464" w:rsidRPr="00143464" w:rsidTr="00143464">
        <w:trPr>
          <w:trHeight w:val="1626"/>
          <w:tblCellSpacing w:w="0" w:type="dxa"/>
        </w:trPr>
        <w:tc>
          <w:tcPr>
            <w:tcW w:w="0" w:type="auto"/>
            <w:shd w:val="clear" w:color="auto" w:fill="FFFFFF"/>
            <w:vAlign w:val="center"/>
            <w:hideMark/>
          </w:tcPr>
          <w:tbl>
            <w:tblPr>
              <w:tblW w:w="9292" w:type="dxa"/>
              <w:jc w:val="center"/>
              <w:tblCellSpacing w:w="0" w:type="dxa"/>
              <w:tblCellMar>
                <w:left w:w="0" w:type="dxa"/>
                <w:right w:w="0" w:type="dxa"/>
              </w:tblCellMar>
              <w:tblLook w:val="04A0" w:firstRow="1" w:lastRow="0" w:firstColumn="1" w:lastColumn="0" w:noHBand="0" w:noVBand="1"/>
            </w:tblPr>
            <w:tblGrid>
              <w:gridCol w:w="9292"/>
            </w:tblGrid>
            <w:tr w:rsidR="00143464" w:rsidRPr="00143464" w:rsidTr="00143464">
              <w:trPr>
                <w:trHeight w:val="1626"/>
                <w:tblCellSpacing w:w="0" w:type="dxa"/>
                <w:jc w:val="center"/>
              </w:trPr>
              <w:tc>
                <w:tcPr>
                  <w:tcW w:w="0" w:type="auto"/>
                  <w:hideMark/>
                </w:tcPr>
                <w:tbl>
                  <w:tblPr>
                    <w:tblW w:w="9292" w:type="dxa"/>
                    <w:tblCellSpacing w:w="0" w:type="dxa"/>
                    <w:shd w:val="clear" w:color="auto" w:fill="003459"/>
                    <w:tblCellMar>
                      <w:left w:w="0" w:type="dxa"/>
                      <w:right w:w="0" w:type="dxa"/>
                    </w:tblCellMar>
                    <w:tblLook w:val="04A0" w:firstRow="1" w:lastRow="0" w:firstColumn="1" w:lastColumn="0" w:noHBand="0" w:noVBand="1"/>
                  </w:tblPr>
                  <w:tblGrid>
                    <w:gridCol w:w="9292"/>
                  </w:tblGrid>
                  <w:tr w:rsidR="00143464" w:rsidRPr="00143464" w:rsidTr="00143464">
                    <w:trPr>
                      <w:trHeight w:val="1626"/>
                      <w:tblCellSpacing w:w="0" w:type="dxa"/>
                    </w:trPr>
                    <w:tc>
                      <w:tcPr>
                        <w:tcW w:w="0" w:type="auto"/>
                        <w:shd w:val="clear" w:color="auto" w:fill="003459"/>
                        <w:vAlign w:val="center"/>
                        <w:hideMark/>
                      </w:tcPr>
                      <w:tbl>
                        <w:tblPr>
                          <w:tblW w:w="793" w:type="dxa"/>
                          <w:jc w:val="center"/>
                          <w:tblCellSpacing w:w="0" w:type="dxa"/>
                          <w:tblCellMar>
                            <w:left w:w="0" w:type="dxa"/>
                            <w:right w:w="0" w:type="dxa"/>
                          </w:tblCellMar>
                          <w:tblLook w:val="04A0" w:firstRow="1" w:lastRow="0" w:firstColumn="1" w:lastColumn="0" w:noHBand="0" w:noVBand="1"/>
                        </w:tblPr>
                        <w:tblGrid>
                          <w:gridCol w:w="793"/>
                        </w:tblGrid>
                        <w:tr w:rsidR="00143464" w:rsidRPr="00143464" w:rsidTr="00143464">
                          <w:trPr>
                            <w:trHeight w:val="13"/>
                            <w:tblCellSpacing w:w="0" w:type="dxa"/>
                            <w:jc w:val="center"/>
                          </w:trPr>
                          <w:tc>
                            <w:tcPr>
                              <w:tcW w:w="0" w:type="auto"/>
                              <w:tcMar>
                                <w:top w:w="300" w:type="dxa"/>
                                <w:left w:w="300" w:type="dxa"/>
                                <w:bottom w:w="300" w:type="dxa"/>
                                <w:right w:w="300" w:type="dxa"/>
                              </w:tcMar>
                            </w:tcPr>
                            <w:p w:rsidR="00143464" w:rsidRPr="00143464" w:rsidRDefault="00143464" w:rsidP="00143464">
                              <w:pPr>
                                <w:spacing w:before="100" w:beforeAutospacing="1" w:after="100" w:afterAutospacing="1" w:line="240" w:lineRule="auto"/>
                                <w:jc w:val="center"/>
                                <w:outlineLvl w:val="3"/>
                                <w:rPr>
                                  <w:rFonts w:ascii="Helvetica" w:eastAsia="Times New Roman" w:hAnsi="Helvetica" w:cs="Helvetica"/>
                                  <w:b/>
                                  <w:bCs/>
                                  <w:color w:val="FFFFFF"/>
                                  <w:sz w:val="24"/>
                                  <w:szCs w:val="24"/>
                                </w:rPr>
                              </w:pPr>
                              <w:bookmarkStart w:id="0" w:name="_GoBack"/>
                              <w:bookmarkEnd w:id="0"/>
                            </w:p>
                          </w:tc>
                        </w:tr>
                      </w:tbl>
                      <w:p w:rsidR="00143464" w:rsidRPr="00143464" w:rsidRDefault="00143464" w:rsidP="00143464">
                        <w:pPr>
                          <w:spacing w:after="0" w:line="240" w:lineRule="auto"/>
                          <w:jc w:val="center"/>
                          <w:rPr>
                            <w:rFonts w:ascii="Helvetica" w:eastAsia="Times New Roman" w:hAnsi="Helvetica" w:cs="Helvetica"/>
                            <w:vanish/>
                            <w:sz w:val="24"/>
                            <w:szCs w:val="24"/>
                          </w:rPr>
                        </w:pPr>
                      </w:p>
                      <w:tbl>
                        <w:tblPr>
                          <w:tblW w:w="5000" w:type="pct"/>
                          <w:jc w:val="center"/>
                          <w:tblCellSpacing w:w="0" w:type="dxa"/>
                          <w:shd w:val="clear" w:color="auto" w:fill="0051BA"/>
                          <w:tblCellMar>
                            <w:left w:w="0" w:type="dxa"/>
                            <w:right w:w="0" w:type="dxa"/>
                          </w:tblCellMar>
                          <w:tblLook w:val="04A0" w:firstRow="1" w:lastRow="0" w:firstColumn="1" w:lastColumn="0" w:noHBand="0" w:noVBand="1"/>
                        </w:tblPr>
                        <w:tblGrid>
                          <w:gridCol w:w="9292"/>
                        </w:tblGrid>
                        <w:tr w:rsidR="00143464" w:rsidRPr="00143464" w:rsidTr="00143464">
                          <w:trPr>
                            <w:trHeight w:val="1263"/>
                            <w:tblCellSpacing w:w="0" w:type="dxa"/>
                            <w:jc w:val="center"/>
                          </w:trPr>
                          <w:tc>
                            <w:tcPr>
                              <w:tcW w:w="9292" w:type="dxa"/>
                              <w:shd w:val="clear" w:color="auto" w:fill="0051BA"/>
                              <w:vAlign w:val="center"/>
                              <w:hideMark/>
                            </w:tcPr>
                            <w:tbl>
                              <w:tblPr>
                                <w:tblW w:w="9292" w:type="dxa"/>
                                <w:jc w:val="center"/>
                                <w:tblCellSpacing w:w="0" w:type="dxa"/>
                                <w:tblCellMar>
                                  <w:left w:w="0" w:type="dxa"/>
                                  <w:right w:w="0" w:type="dxa"/>
                                </w:tblCellMar>
                                <w:tblLook w:val="04A0" w:firstRow="1" w:lastRow="0" w:firstColumn="1" w:lastColumn="0" w:noHBand="0" w:noVBand="1"/>
                              </w:tblPr>
                              <w:tblGrid>
                                <w:gridCol w:w="4303"/>
                                <w:gridCol w:w="4989"/>
                              </w:tblGrid>
                              <w:tr w:rsidR="00143464" w:rsidRPr="00143464" w:rsidTr="00143464">
                                <w:trPr>
                                  <w:trHeight w:val="1118"/>
                                  <w:tblCellSpacing w:w="0" w:type="dxa"/>
                                  <w:jc w:val="center"/>
                                </w:trPr>
                                <w:tc>
                                  <w:tcPr>
                                    <w:tcW w:w="0" w:type="auto"/>
                                    <w:hideMark/>
                                  </w:tcPr>
                                  <w:tbl>
                                    <w:tblPr>
                                      <w:tblW w:w="4026" w:type="dxa"/>
                                      <w:jc w:val="center"/>
                                      <w:tblCellSpacing w:w="0" w:type="dxa"/>
                                      <w:tblCellMar>
                                        <w:top w:w="450" w:type="dxa"/>
                                        <w:left w:w="450" w:type="dxa"/>
                                        <w:bottom w:w="450" w:type="dxa"/>
                                        <w:right w:w="450" w:type="dxa"/>
                                      </w:tblCellMar>
                                      <w:tblLook w:val="04A0" w:firstRow="1" w:lastRow="0" w:firstColumn="1" w:lastColumn="0" w:noHBand="0" w:noVBand="1"/>
                                    </w:tblPr>
                                    <w:tblGrid>
                                      <w:gridCol w:w="4026"/>
                                    </w:tblGrid>
                                    <w:tr w:rsidR="00143464" w:rsidRPr="00143464" w:rsidTr="00143464">
                                      <w:trPr>
                                        <w:trHeight w:val="888"/>
                                        <w:tblCellSpacing w:w="0" w:type="dxa"/>
                                        <w:jc w:val="center"/>
                                      </w:trPr>
                                      <w:tc>
                                        <w:tcPr>
                                          <w:tcW w:w="0" w:type="auto"/>
                                          <w:vAlign w:val="center"/>
                                          <w:hideMark/>
                                        </w:tcPr>
                                        <w:p w:rsidR="00143464" w:rsidRPr="00143464" w:rsidRDefault="00143464" w:rsidP="00143464">
                                          <w:pPr>
                                            <w:spacing w:after="0" w:line="240" w:lineRule="auto"/>
                                            <w:jc w:val="center"/>
                                            <w:rPr>
                                              <w:rFonts w:ascii="Helvetica" w:eastAsia="Times New Roman" w:hAnsi="Helvetica" w:cs="Helvetica"/>
                                              <w:sz w:val="24"/>
                                              <w:szCs w:val="24"/>
                                            </w:rPr>
                                          </w:pPr>
                                          <w:r w:rsidRPr="00143464">
                                            <w:rPr>
                                              <w:rFonts w:ascii="Helvetica" w:eastAsia="Times New Roman" w:hAnsi="Helvetica" w:cs="Helvetica"/>
                                              <w:noProof/>
                                              <w:sz w:val="24"/>
                                              <w:szCs w:val="24"/>
                                            </w:rPr>
                                            <w:drawing>
                                              <wp:inline distT="0" distB="0" distL="0" distR="0" wp14:anchorId="19F9E304" wp14:editId="58B27F19">
                                                <wp:extent cx="1905000" cy="135255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inline>
                                            </w:drawing>
                                          </w:r>
                                        </w:p>
                                      </w:tc>
                                    </w:tr>
                                  </w:tbl>
                                  <w:p w:rsidR="00143464" w:rsidRPr="00143464" w:rsidRDefault="00143464" w:rsidP="00143464">
                                    <w:pPr>
                                      <w:spacing w:after="0" w:line="240" w:lineRule="auto"/>
                                      <w:jc w:val="center"/>
                                      <w:rPr>
                                        <w:rFonts w:ascii="Helvetica" w:eastAsia="Times New Roman" w:hAnsi="Helvetica" w:cs="Helvetica"/>
                                        <w:sz w:val="24"/>
                                        <w:szCs w:val="24"/>
                                      </w:rPr>
                                    </w:pPr>
                                  </w:p>
                                </w:tc>
                                <w:tc>
                                  <w:tcPr>
                                    <w:tcW w:w="0" w:type="auto"/>
                                    <w:hideMark/>
                                  </w:tcPr>
                                  <w:tbl>
                                    <w:tblPr>
                                      <w:tblW w:w="4667" w:type="dxa"/>
                                      <w:jc w:val="center"/>
                                      <w:tblCellSpacing w:w="0" w:type="dxa"/>
                                      <w:tblCellMar>
                                        <w:top w:w="150" w:type="dxa"/>
                                        <w:left w:w="150" w:type="dxa"/>
                                        <w:bottom w:w="150" w:type="dxa"/>
                                        <w:right w:w="150" w:type="dxa"/>
                                      </w:tblCellMar>
                                      <w:tblLook w:val="04A0" w:firstRow="1" w:lastRow="0" w:firstColumn="1" w:lastColumn="0" w:noHBand="0" w:noVBand="1"/>
                                    </w:tblPr>
                                    <w:tblGrid>
                                      <w:gridCol w:w="4667"/>
                                    </w:tblGrid>
                                    <w:tr w:rsidR="00143464" w:rsidRPr="00143464" w:rsidTr="00143464">
                                      <w:trPr>
                                        <w:trHeight w:val="1093"/>
                                        <w:tblCellSpacing w:w="0" w:type="dxa"/>
                                        <w:jc w:val="center"/>
                                      </w:trPr>
                                      <w:tc>
                                        <w:tcPr>
                                          <w:tcW w:w="0" w:type="auto"/>
                                          <w:vAlign w:val="center"/>
                                          <w:hideMark/>
                                        </w:tcPr>
                                        <w:p w:rsidR="00143464" w:rsidRPr="00143464" w:rsidRDefault="00143464" w:rsidP="00143464">
                                          <w:pPr>
                                            <w:spacing w:before="100" w:beforeAutospacing="1" w:after="100" w:afterAutospacing="1" w:line="240" w:lineRule="auto"/>
                                            <w:outlineLvl w:val="1"/>
                                            <w:rPr>
                                              <w:rFonts w:ascii="Helvetica" w:eastAsia="Times New Roman" w:hAnsi="Helvetica" w:cs="Helvetica"/>
                                              <w:b/>
                                              <w:bCs/>
                                              <w:sz w:val="36"/>
                                              <w:szCs w:val="36"/>
                                            </w:rPr>
                                          </w:pPr>
                                          <w:r w:rsidRPr="00143464">
                                            <w:rPr>
                                              <w:rFonts w:ascii="Helvetica" w:eastAsia="Times New Roman" w:hAnsi="Helvetica" w:cs="Helvetica"/>
                                              <w:b/>
                                              <w:bCs/>
                                              <w:color w:val="FFFFFF"/>
                                              <w:sz w:val="36"/>
                                              <w:szCs w:val="36"/>
                                            </w:rPr>
                                            <w:t>KU Office of Admissions</w:t>
                                          </w:r>
                                        </w:p>
                                        <w:p w:rsidR="00143464" w:rsidRPr="00143464" w:rsidRDefault="00143464" w:rsidP="00143464">
                                          <w:pPr>
                                            <w:spacing w:before="100" w:beforeAutospacing="1" w:after="100" w:afterAutospacing="1" w:line="240" w:lineRule="auto"/>
                                            <w:rPr>
                                              <w:rFonts w:ascii="Helvetica" w:eastAsia="Times New Roman" w:hAnsi="Helvetica" w:cs="Helvetica"/>
                                              <w:color w:val="FFFFFF"/>
                                              <w:sz w:val="24"/>
                                              <w:szCs w:val="24"/>
                                            </w:rPr>
                                          </w:pPr>
                                          <w:hyperlink r:id="rId11" w:tgtFrame="_blank" w:history="1">
                                            <w:r w:rsidRPr="00143464">
                                              <w:rPr>
                                                <w:rFonts w:ascii="Helvetica" w:eastAsia="Times New Roman" w:hAnsi="Helvetica" w:cs="Helvetica"/>
                                                <w:color w:val="1155CC"/>
                                                <w:sz w:val="24"/>
                                                <w:szCs w:val="24"/>
                                                <w:u w:val="single"/>
                                              </w:rPr>
                                              <w:t>kuadmissions@ku.edu</w:t>
                                            </w:r>
                                          </w:hyperlink>
                                          <w:r w:rsidRPr="00143464">
                                            <w:rPr>
                                              <w:rFonts w:ascii="Helvetica" w:eastAsia="Times New Roman" w:hAnsi="Helvetica" w:cs="Helvetica"/>
                                              <w:color w:val="FFFFFF"/>
                                              <w:sz w:val="24"/>
                                              <w:szCs w:val="24"/>
                                            </w:rPr>
                                            <w:br/>
                                            <w:t>785-864-3911</w:t>
                                          </w:r>
                                        </w:p>
                                        <w:tbl>
                                          <w:tblPr>
                                            <w:tblW w:w="1548" w:type="dxa"/>
                                            <w:tblCellSpacing w:w="15" w:type="dxa"/>
                                            <w:tblCellMar>
                                              <w:top w:w="15" w:type="dxa"/>
                                              <w:left w:w="15" w:type="dxa"/>
                                              <w:bottom w:w="15" w:type="dxa"/>
                                              <w:right w:w="15" w:type="dxa"/>
                                            </w:tblCellMar>
                                            <w:tblLook w:val="04A0" w:firstRow="1" w:lastRow="0" w:firstColumn="1" w:lastColumn="0" w:noHBand="0" w:noVBand="1"/>
                                          </w:tblPr>
                                          <w:tblGrid>
                                            <w:gridCol w:w="1548"/>
                                          </w:tblGrid>
                                          <w:tr w:rsidR="00143464" w:rsidRPr="00143464" w:rsidTr="00143464">
                                            <w:trPr>
                                              <w:trHeight w:val="25"/>
                                              <w:tblCellSpacing w:w="15" w:type="dxa"/>
                                            </w:trPr>
                                            <w:tc>
                                              <w:tcPr>
                                                <w:tcW w:w="0" w:type="auto"/>
                                                <w:shd w:val="clear" w:color="auto" w:fill="E8000D"/>
                                                <w:vAlign w:val="center"/>
                                                <w:hideMark/>
                                              </w:tcPr>
                                              <w:p w:rsidR="00143464" w:rsidRPr="00143464" w:rsidRDefault="00143464" w:rsidP="00143464">
                                                <w:pPr>
                                                  <w:spacing w:after="0" w:line="15" w:lineRule="atLeast"/>
                                                  <w:rPr>
                                                    <w:rFonts w:ascii="Helvetica" w:eastAsia="Times New Roman" w:hAnsi="Helvetica" w:cs="Helvetica"/>
                                                    <w:sz w:val="2"/>
                                                    <w:szCs w:val="2"/>
                                                  </w:rPr>
                                                </w:pPr>
                                                <w:r w:rsidRPr="00143464">
                                                  <w:rPr>
                                                    <w:rFonts w:ascii="Helvetica" w:eastAsia="Times New Roman" w:hAnsi="Helvetica" w:cs="Helvetica"/>
                                                    <w:sz w:val="2"/>
                                                    <w:szCs w:val="2"/>
                                                  </w:rPr>
                                                  <w:t> </w:t>
                                                </w:r>
                                              </w:p>
                                            </w:tc>
                                          </w:tr>
                                        </w:tbl>
                                        <w:p w:rsidR="00143464" w:rsidRPr="00143464" w:rsidRDefault="00143464" w:rsidP="00143464">
                                          <w:pPr>
                                            <w:spacing w:before="100" w:beforeAutospacing="1" w:after="100" w:afterAutospacing="1" w:line="240" w:lineRule="auto"/>
                                            <w:rPr>
                                              <w:rFonts w:ascii="Helvetica" w:eastAsia="Times New Roman" w:hAnsi="Helvetica" w:cs="Helvetica"/>
                                              <w:color w:val="FFFFFF"/>
                                              <w:sz w:val="24"/>
                                              <w:szCs w:val="24"/>
                                            </w:rPr>
                                          </w:pPr>
                                          <w:r w:rsidRPr="00143464">
                                            <w:rPr>
                                              <w:rFonts w:ascii="Helvetica" w:eastAsia="Times New Roman" w:hAnsi="Helvetica" w:cs="Helvetica"/>
                                              <w:color w:val="FFFFFF"/>
                                              <w:sz w:val="24"/>
                                              <w:szCs w:val="24"/>
                                            </w:rPr>
                                            <w:t>1502 Iowa St.</w:t>
                                          </w:r>
                                          <w:r w:rsidRPr="00143464">
                                            <w:rPr>
                                              <w:rFonts w:ascii="Helvetica" w:eastAsia="Times New Roman" w:hAnsi="Helvetica" w:cs="Helvetica"/>
                                              <w:color w:val="FFFFFF"/>
                                              <w:sz w:val="24"/>
                                              <w:szCs w:val="24"/>
                                            </w:rPr>
                                            <w:br/>
                                            <w:t>Lawrence, KS 66045</w:t>
                                          </w:r>
                                          <w:r w:rsidRPr="00143464">
                                            <w:rPr>
                                              <w:rFonts w:ascii="Helvetica" w:eastAsia="Times New Roman" w:hAnsi="Helvetica" w:cs="Helvetica"/>
                                              <w:color w:val="FFFFFF"/>
                                              <w:sz w:val="24"/>
                                              <w:szCs w:val="24"/>
                                            </w:rPr>
                                            <w:br/>
                                          </w:r>
                                          <w:r w:rsidRPr="00143464">
                                            <w:rPr>
                                              <w:rFonts w:ascii="Helvetica" w:eastAsia="Times New Roman" w:hAnsi="Helvetica" w:cs="Helvetica"/>
                                              <w:color w:val="FFFFFF"/>
                                              <w:sz w:val="15"/>
                                              <w:szCs w:val="15"/>
                                            </w:rPr>
                                            <w:t>KU is an EO/AA institution.</w:t>
                                          </w:r>
                                        </w:p>
                                      </w:tc>
                                    </w:tr>
                                  </w:tbl>
                                  <w:p w:rsidR="00143464" w:rsidRPr="00143464" w:rsidRDefault="00143464" w:rsidP="00143464">
                                    <w:pPr>
                                      <w:spacing w:after="0" w:line="240" w:lineRule="auto"/>
                                      <w:jc w:val="center"/>
                                      <w:rPr>
                                        <w:rFonts w:ascii="Helvetica" w:eastAsia="Times New Roman" w:hAnsi="Helvetica" w:cs="Helvetica"/>
                                        <w:sz w:val="24"/>
                                        <w:szCs w:val="24"/>
                                      </w:rPr>
                                    </w:pPr>
                                  </w:p>
                                </w:tc>
                              </w:tr>
                            </w:tbl>
                            <w:p w:rsidR="00143464" w:rsidRPr="00143464" w:rsidRDefault="00143464" w:rsidP="00143464">
                              <w:pPr>
                                <w:spacing w:after="0" w:line="240" w:lineRule="auto"/>
                                <w:jc w:val="center"/>
                                <w:rPr>
                                  <w:rFonts w:ascii="Helvetica" w:eastAsia="Times New Roman" w:hAnsi="Helvetica" w:cs="Helvetica"/>
                                  <w:sz w:val="24"/>
                                  <w:szCs w:val="24"/>
                                </w:rPr>
                              </w:pPr>
                            </w:p>
                          </w:tc>
                        </w:tr>
                      </w:tbl>
                      <w:p w:rsidR="00143464" w:rsidRPr="00143464" w:rsidRDefault="00143464" w:rsidP="00143464">
                        <w:pPr>
                          <w:spacing w:after="0" w:line="240" w:lineRule="auto"/>
                          <w:jc w:val="center"/>
                          <w:rPr>
                            <w:rFonts w:ascii="Helvetica" w:eastAsia="Times New Roman" w:hAnsi="Helvetica" w:cs="Helvetica"/>
                            <w:sz w:val="24"/>
                            <w:szCs w:val="24"/>
                          </w:rPr>
                        </w:pPr>
                      </w:p>
                    </w:tc>
                  </w:tr>
                </w:tbl>
                <w:p w:rsidR="00143464" w:rsidRPr="00143464" w:rsidRDefault="00143464" w:rsidP="00143464">
                  <w:pPr>
                    <w:spacing w:after="0" w:line="240" w:lineRule="auto"/>
                    <w:rPr>
                      <w:rFonts w:ascii="Helvetica" w:eastAsia="Times New Roman" w:hAnsi="Helvetica" w:cs="Helvetica"/>
                      <w:sz w:val="24"/>
                      <w:szCs w:val="24"/>
                    </w:rPr>
                  </w:pPr>
                </w:p>
              </w:tc>
            </w:tr>
          </w:tbl>
          <w:p w:rsidR="00143464" w:rsidRPr="00143464" w:rsidRDefault="00143464" w:rsidP="00143464">
            <w:pPr>
              <w:spacing w:after="0" w:line="240" w:lineRule="auto"/>
              <w:rPr>
                <w:rFonts w:ascii="Helvetica" w:eastAsia="Times New Roman" w:hAnsi="Helvetica" w:cs="Helvetica"/>
                <w:color w:val="222222"/>
                <w:sz w:val="24"/>
                <w:szCs w:val="24"/>
              </w:rPr>
            </w:pPr>
          </w:p>
        </w:tc>
      </w:tr>
    </w:tbl>
    <w:p w:rsidR="00C54736" w:rsidRDefault="00C54736"/>
    <w:sectPr w:rsidR="00C54736" w:rsidSect="00143464">
      <w:pgSz w:w="12240" w:h="15840"/>
      <w:pgMar w:top="360" w:right="360" w:bottom="360" w:left="360" w:header="720" w:footer="720" w:gutter="3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64"/>
    <w:rsid w:val="00143464"/>
    <w:rsid w:val="00524BEC"/>
    <w:rsid w:val="006516E2"/>
    <w:rsid w:val="00C5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6CCC"/>
  <w15:chartTrackingRefBased/>
  <w15:docId w15:val="{E14F85F2-FACD-4981-B852-AEBFF1D8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59123">
      <w:bodyDiv w:val="1"/>
      <w:marLeft w:val="0"/>
      <w:marRight w:val="0"/>
      <w:marTop w:val="0"/>
      <w:marBottom w:val="0"/>
      <w:divBdr>
        <w:top w:val="none" w:sz="0" w:space="0" w:color="auto"/>
        <w:left w:val="none" w:sz="0" w:space="0" w:color="auto"/>
        <w:bottom w:val="none" w:sz="0" w:space="0" w:color="auto"/>
        <w:right w:val="none" w:sz="0" w:space="0" w:color="auto"/>
      </w:divBdr>
      <w:divsChild>
        <w:div w:id="130065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wkhelp.ku.edu/rd?1=AvME~wrRDv8S~xb~Gv8c~yI1FvkqO~X7Gh8Wxj7~Pv~f&amp;2=2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awkhelp.ku.edu/rd?1=AvME~wrRDv8S~xb~Gv8c~yI1FvkqO~X7Gh8Wxj7~Pv~f&amp;2=26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wkhelp.ku.edu/rd?1=AvME~wrRDv8S~xb~Gv8c~yI1FvkqO~X7Gh8Wxj7~Pv~f&amp;2=261" TargetMode="External"/><Relationship Id="rId11" Type="http://schemas.openxmlformats.org/officeDocument/2006/relationships/hyperlink" Target="mailto:kuadmissions@ku.edu" TargetMode="External"/><Relationship Id="rId5" Type="http://schemas.openxmlformats.org/officeDocument/2006/relationships/hyperlink" Target="http://hawkhelp.ku.edu/rd?1=AvME~wrRDv8S~xb~Gv8c~yI1FvkqO~X7Gh8Wxj7~Pv~f&amp;2=260"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hawkhelp.ku.edu/rd?1=AvME~wrRDv8S~xb~Gv8c~yI1FvkqO~X7Gh8Wxj7~Pv~f&amp;2=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USD 263 Mulvane Schools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Gutzmer, Christy</dc:creator>
  <cp:keywords/>
  <dc:description/>
  <cp:lastModifiedBy>Gutzmer, Christy</cp:lastModifiedBy>
  <cp:revision>1</cp:revision>
  <dcterms:created xsi:type="dcterms:W3CDTF">2019-10-07T13:45:00Z</dcterms:created>
  <dcterms:modified xsi:type="dcterms:W3CDTF">2019-10-07T13:49:00Z</dcterms:modified>
</cp:coreProperties>
</file>